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 理论课、</w:t>
      </w:r>
      <w:r>
        <w:rPr>
          <w:rFonts w:hint="eastAsia" w:ascii="黑体" w:hAnsi="黑体" w:eastAsia="黑体" w:cs="黑体"/>
          <w:sz w:val="32"/>
          <w:szCs w:val="32"/>
        </w:rPr>
        <w:t>独立设置的实验（实训）课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大纲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模板</w:t>
      </w:r>
    </w:p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******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643" w:firstLineChars="200"/>
        <w:rPr>
          <w:rFonts w:hint="default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vMerge w:val="continue"/>
          </w:tcPr>
          <w:p>
            <w:pPr>
              <w:tabs>
                <w:tab w:val="left" w:pos="1440"/>
              </w:tabs>
              <w:jc w:val="both"/>
              <w:outlineLvl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如有多个目标可根据需要在各类目标中加行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2721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*：</w:t>
            </w:r>
          </w:p>
        </w:tc>
        <w:tc>
          <w:tcPr>
            <w:tcW w:w="1815" w:type="dxa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3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可根据教学模块数量需要加行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……………</w:t>
            </w:r>
          </w:p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3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color w:val="333333"/>
                <w:sz w:val="21"/>
                <w:szCs w:val="21"/>
              </w:rPr>
              <w:t>难点：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</w:rPr>
            </w:pPr>
          </w:p>
          <w:p>
            <w:pPr>
              <w:adjustRightInd w:val="0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****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目标*目标*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可根据项目数量需要加行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...</w:t>
      </w:r>
      <w:r>
        <w:rPr>
          <w:rFonts w:hint="eastAsia"/>
          <w:color w:val="333333"/>
          <w:sz w:val="21"/>
          <w:szCs w:val="21"/>
          <w:lang w:val="en-US" w:eastAsia="zh-CN"/>
        </w:rPr>
        <w:t>...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小组汇报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3.考勤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（根据课程需要自行设计）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...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/>
          <w:color w:val="333333"/>
          <w:sz w:val="21"/>
          <w:szCs w:val="21"/>
          <w:lang w:val="en-US" w:eastAsia="zh-CN"/>
        </w:rPr>
        <w:t>...</w:t>
      </w:r>
    </w:p>
    <w:tbl>
      <w:tblPr>
        <w:tblStyle w:val="3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88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可根据考核内容需要加行</w:t>
            </w:r>
            <w:r>
              <w:rPr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…………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          学历（位）：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周次：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</w:p>
        </w:tc>
      </w:tr>
    </w:tbl>
    <w:p>
      <w:pPr>
        <w:pStyle w:val="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 ***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讨论参与人:***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系（教研室）主任：***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学院（部）审核人：***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guanhy</cp:lastModifiedBy>
  <dcterms:modified xsi:type="dcterms:W3CDTF">2021-11-15T05:15:07Z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